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Pr="00202DEE" w:rsidRDefault="00874695" w:rsidP="00202DEE">
      <w:pPr>
        <w:spacing w:line="480" w:lineRule="auto"/>
        <w:jc w:val="center"/>
        <w:rPr>
          <w:rFonts w:ascii="Times New Roman" w:eastAsia="Times New Roman" w:hAnsi="Times New Roman" w:cs="Times New Roman"/>
          <w:b/>
          <w:bCs/>
          <w:color w:val="000000" w:themeColor="text1"/>
          <w:sz w:val="24"/>
          <w:szCs w:val="24"/>
        </w:rPr>
      </w:pPr>
      <w:r w:rsidRPr="00202DEE">
        <w:rPr>
          <w:rFonts w:ascii="Times New Roman" w:eastAsia="Times New Roman" w:hAnsi="Times New Roman" w:cs="Times New Roman"/>
          <w:b/>
          <w:bCs/>
          <w:color w:val="000000" w:themeColor="text1"/>
          <w:sz w:val="24"/>
          <w:szCs w:val="24"/>
        </w:rPr>
        <w:t>Comprehensive Needs Assessment</w:t>
      </w:r>
    </w:p>
    <w:p w:rsidR="00202DEE" w:rsidRDefault="00874695" w:rsidP="00202DE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202DEE" w:rsidRDefault="00874695" w:rsidP="00202DE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202DEE" w:rsidRDefault="00874695" w:rsidP="00202DE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02DEE" w:rsidRDefault="00202DEE" w:rsidP="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Default="00202DEE"/>
    <w:p w:rsidR="00202DEE" w:rsidRPr="00202DEE" w:rsidRDefault="00874695" w:rsidP="00202DEE">
      <w:pPr>
        <w:spacing w:after="0" w:line="480" w:lineRule="auto"/>
        <w:ind w:firstLine="851"/>
        <w:jc w:val="center"/>
        <w:rPr>
          <w:rFonts w:ascii="Times New Roman" w:hAnsi="Times New Roman" w:cs="Times New Roman"/>
          <w:b/>
          <w:bCs/>
          <w:color w:val="000000" w:themeColor="text1"/>
          <w:sz w:val="24"/>
          <w:szCs w:val="24"/>
        </w:rPr>
      </w:pPr>
      <w:r w:rsidRPr="00202DEE">
        <w:rPr>
          <w:rFonts w:ascii="Times New Roman" w:hAnsi="Times New Roman" w:cs="Times New Roman"/>
          <w:b/>
          <w:bCs/>
          <w:color w:val="000000" w:themeColor="text1"/>
          <w:sz w:val="24"/>
          <w:szCs w:val="24"/>
        </w:rPr>
        <w:lastRenderedPageBreak/>
        <w:t>Comprehensive Needs Assessment</w:t>
      </w:r>
    </w:p>
    <w:p w:rsidR="005E1259" w:rsidRPr="00202DEE" w:rsidRDefault="00874695" w:rsidP="00202DEE">
      <w:p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 xml:space="preserve">The provision of care is dependent on the effectiveness of care coordination, which enhances successful health care needs for the patients. Care coordination involves all the activities aimed at organizing the care of patients and sharing the information related to patient care among the health care team members. It is the team members' </w:t>
      </w:r>
      <w:r w:rsidR="00BE5B11">
        <w:rPr>
          <w:rFonts w:ascii="Times New Roman" w:hAnsi="Times New Roman" w:cs="Times New Roman"/>
          <w:color w:val="000000" w:themeColor="text1"/>
          <w:sz w:val="24"/>
          <w:szCs w:val="24"/>
        </w:rPr>
        <w:t>roles</w:t>
      </w:r>
      <w:r w:rsidRPr="00202DEE">
        <w:rPr>
          <w:rFonts w:ascii="Times New Roman" w:hAnsi="Times New Roman" w:cs="Times New Roman"/>
          <w:color w:val="000000" w:themeColor="text1"/>
          <w:sz w:val="24"/>
          <w:szCs w:val="24"/>
        </w:rPr>
        <w:t xml:space="preserve"> to carry out comprehensive care of patients for the health care services to be dispatched effectively. When the health needs assessment is done effectively, the gaps that may occur in patient care are diminished. In this paper, the comprehensive care assessment of a patient is provided to provide the necessity of comprehensive needs assessment.</w:t>
      </w:r>
    </w:p>
    <w:p w:rsidR="005E1259" w:rsidRPr="00202DEE" w:rsidRDefault="00BC21FE" w:rsidP="00BC21FE">
      <w:pPr>
        <w:tabs>
          <w:tab w:val="center" w:pos="4938"/>
          <w:tab w:val="left" w:pos="7005"/>
        </w:tabs>
        <w:spacing w:after="0" w:line="480" w:lineRule="auto"/>
        <w:ind w:firstLine="851"/>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b/>
      </w:r>
      <w:r w:rsidR="00874695" w:rsidRPr="00202DEE">
        <w:rPr>
          <w:rFonts w:ascii="Times New Roman" w:hAnsi="Times New Roman" w:cs="Times New Roman"/>
          <w:b/>
          <w:bCs/>
          <w:color w:val="000000" w:themeColor="text1"/>
          <w:sz w:val="24"/>
          <w:szCs w:val="24"/>
        </w:rPr>
        <w:t xml:space="preserve">Current Gaps in </w:t>
      </w:r>
      <w:r>
        <w:rPr>
          <w:rFonts w:ascii="Times New Roman" w:hAnsi="Times New Roman" w:cs="Times New Roman"/>
          <w:b/>
          <w:bCs/>
          <w:color w:val="000000" w:themeColor="text1"/>
          <w:sz w:val="24"/>
          <w:szCs w:val="24"/>
        </w:rPr>
        <w:t>Mr. Decker’s Care</w:t>
      </w:r>
    </w:p>
    <w:p w:rsidR="005E1259" w:rsidRPr="00202DEE" w:rsidRDefault="00874695" w:rsidP="00202DEE">
      <w:p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 xml:space="preserve">Mr. Decker, a 79-year-old patient, presented his case of an infected toe two weeks ago. However, the infection management was done, but the family did not follow the instructions provided, and three days later, the patient was readmitted to the hospital with sepsis. The patient's readmission is a serious issue that provides information about the gaps in the health care assessment. The management is concerned with the increased rates of readmission cases, which reveals gaps in care coordination. Following the readmission of Mr. Decker, various gaps are </w:t>
      </w:r>
      <w:r w:rsidR="002013AA" w:rsidRPr="00202DEE">
        <w:rPr>
          <w:rFonts w:ascii="Times New Roman" w:hAnsi="Times New Roman" w:cs="Times New Roman"/>
          <w:color w:val="000000" w:themeColor="text1"/>
          <w:sz w:val="24"/>
          <w:szCs w:val="24"/>
        </w:rPr>
        <w:t>evident in the care, which includes:</w:t>
      </w:r>
    </w:p>
    <w:p w:rsidR="002013AA" w:rsidRPr="00202DEE" w:rsidRDefault="00874695" w:rsidP="00202DEE">
      <w:pPr>
        <w:pStyle w:val="ListParagraph"/>
        <w:numPr>
          <w:ilvl w:val="0"/>
          <w:numId w:val="1"/>
        </w:num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Lack of follow up care in the hospital. The major issue presented is poor adherence to instructions by the family members. In the planning of care for the patient, post-discharge care is significant because it ensures that patient recovery is enhanced and any queries are m</w:t>
      </w:r>
      <w:r w:rsidR="00857A11">
        <w:rPr>
          <w:rFonts w:ascii="Times New Roman" w:hAnsi="Times New Roman" w:cs="Times New Roman"/>
          <w:color w:val="000000" w:themeColor="text1"/>
          <w:sz w:val="24"/>
          <w:szCs w:val="24"/>
        </w:rPr>
        <w:t>anaged (Constantino et al., 2017</w:t>
      </w:r>
      <w:r w:rsidRPr="00202DEE">
        <w:rPr>
          <w:rFonts w:ascii="Times New Roman" w:hAnsi="Times New Roman" w:cs="Times New Roman"/>
          <w:color w:val="000000" w:themeColor="text1"/>
          <w:sz w:val="24"/>
          <w:szCs w:val="24"/>
        </w:rPr>
        <w:t>). Post-discharge care can be done through phone calls to ensure that the patient is adhering to the treatment plan provided.</w:t>
      </w:r>
    </w:p>
    <w:p w:rsidR="002013AA" w:rsidRPr="00202DEE" w:rsidRDefault="00874695" w:rsidP="00202DEE">
      <w:pPr>
        <w:pStyle w:val="ListParagraph"/>
        <w:numPr>
          <w:ilvl w:val="0"/>
          <w:numId w:val="1"/>
        </w:num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lastRenderedPageBreak/>
        <w:t>The financial status of the patient was not addressed in inpatient care. The management of health care requires the evaluation of finances, which are significant in supporting the patient's needs.</w:t>
      </w:r>
    </w:p>
    <w:p w:rsidR="002013AA" w:rsidRPr="00202DEE" w:rsidRDefault="00874695" w:rsidP="00202DEE">
      <w:pPr>
        <w:pStyle w:val="ListParagraph"/>
        <w:numPr>
          <w:ilvl w:val="0"/>
          <w:numId w:val="1"/>
        </w:num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The collaborative care was not well developed. Providing care to the patient collaboratively ensures that different aspects of the patient's illness are addressed. While providing the care, the team failed to address factors such as old age and diabetes, which could be addressed by different professionals to ensure that the management is successful.</w:t>
      </w:r>
    </w:p>
    <w:p w:rsidR="00BC21FE" w:rsidRDefault="00874695" w:rsidP="00202DEE">
      <w:p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 xml:space="preserve">The above gaps can be addressed by ensuring that the needs assessment strategy is effectively executed. The use of a health needs assessment will ensure that the patient's psychological, physiological, and social needs are addressed. </w:t>
      </w:r>
    </w:p>
    <w:p w:rsidR="00BC21FE" w:rsidRPr="00BC21FE" w:rsidRDefault="00BC21FE" w:rsidP="00BC21FE">
      <w:pPr>
        <w:spacing w:after="0" w:line="480" w:lineRule="auto"/>
        <w:ind w:firstLine="851"/>
        <w:jc w:val="center"/>
        <w:rPr>
          <w:rFonts w:ascii="Times New Roman" w:hAnsi="Times New Roman" w:cs="Times New Roman"/>
          <w:b/>
          <w:bCs/>
          <w:color w:val="000000" w:themeColor="text1"/>
          <w:sz w:val="24"/>
          <w:szCs w:val="24"/>
        </w:rPr>
      </w:pPr>
      <w:r w:rsidRPr="00BC21FE">
        <w:rPr>
          <w:rFonts w:ascii="Times New Roman" w:hAnsi="Times New Roman" w:cs="Times New Roman"/>
          <w:b/>
          <w:bCs/>
          <w:color w:val="000000" w:themeColor="text1"/>
          <w:sz w:val="24"/>
          <w:szCs w:val="24"/>
        </w:rPr>
        <w:t>Information Needs for the Patient’s Optimal Care</w:t>
      </w:r>
    </w:p>
    <w:p w:rsidR="00154F92" w:rsidRPr="00202DEE" w:rsidRDefault="00BC21FE" w:rsidP="00202DEE">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874695" w:rsidRPr="00202DEE">
        <w:rPr>
          <w:rFonts w:ascii="Times New Roman" w:hAnsi="Times New Roman" w:cs="Times New Roman"/>
          <w:color w:val="000000" w:themeColor="text1"/>
          <w:sz w:val="24"/>
          <w:szCs w:val="24"/>
        </w:rPr>
        <w:t>he patient's assessment is dependent on information such as clinical data (such as complaints, diagnosis, weight, and past medical history) and personal information such as hobbies, behaviors, support systems, and lifestyle.</w:t>
      </w:r>
    </w:p>
    <w:p w:rsidR="00154F92" w:rsidRPr="00202DEE" w:rsidRDefault="00BC21FE" w:rsidP="00202DEE">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Strategies for </w:t>
      </w:r>
      <w:r w:rsidR="00874695" w:rsidRPr="00202DEE">
        <w:rPr>
          <w:rFonts w:ascii="Times New Roman" w:hAnsi="Times New Roman" w:cs="Times New Roman"/>
          <w:b/>
          <w:bCs/>
          <w:color w:val="000000" w:themeColor="text1"/>
          <w:sz w:val="24"/>
          <w:szCs w:val="24"/>
        </w:rPr>
        <w:t xml:space="preserve">Gathering Additional </w:t>
      </w:r>
      <w:r>
        <w:rPr>
          <w:rFonts w:ascii="Times New Roman" w:hAnsi="Times New Roman" w:cs="Times New Roman"/>
          <w:b/>
          <w:bCs/>
          <w:color w:val="000000" w:themeColor="text1"/>
          <w:sz w:val="24"/>
          <w:szCs w:val="24"/>
        </w:rPr>
        <w:t xml:space="preserve">Necessary </w:t>
      </w:r>
      <w:r w:rsidR="00874695" w:rsidRPr="00202DEE">
        <w:rPr>
          <w:rFonts w:ascii="Times New Roman" w:hAnsi="Times New Roman" w:cs="Times New Roman"/>
          <w:b/>
          <w:bCs/>
          <w:color w:val="000000" w:themeColor="text1"/>
          <w:sz w:val="24"/>
          <w:szCs w:val="24"/>
        </w:rPr>
        <w:t>Assessment Data</w:t>
      </w:r>
    </w:p>
    <w:p w:rsidR="00154F92" w:rsidRPr="00202DEE" w:rsidRDefault="00874695" w:rsidP="00202DEE">
      <w:p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 xml:space="preserve">Gathering information from Mr. Decker is not satisfactory in the management of his case. Other strategies should be developed to ensure that additional data is provided. The additional </w:t>
      </w:r>
      <w:r w:rsidR="00FC2AC1" w:rsidRPr="00202DEE">
        <w:rPr>
          <w:rFonts w:ascii="Times New Roman" w:hAnsi="Times New Roman" w:cs="Times New Roman"/>
          <w:color w:val="000000" w:themeColor="text1"/>
          <w:sz w:val="24"/>
          <w:szCs w:val="24"/>
        </w:rPr>
        <w:t>strategies include:</w:t>
      </w:r>
    </w:p>
    <w:p w:rsidR="00FC2AC1" w:rsidRPr="00202DEE" w:rsidRDefault="00874695" w:rsidP="00202DEE">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Interviewing his family members and friends. The family and friends' close members will provide accurate information concerning the habits, lifestyles, and behavior of Mr. Decker. Belanger, Desmartis&amp; Coulombe (2019) stated that family and friend's participation in care is significant, especially in providing additional information that helps the health care team understand the patient.</w:t>
      </w:r>
    </w:p>
    <w:p w:rsidR="00FC2AC1" w:rsidRPr="00202DEE" w:rsidRDefault="00874695" w:rsidP="00202DEE">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lastRenderedPageBreak/>
        <w:t>Another significant source of patient data is medical records. Medical records show that history and care provided to the patient from the time he visited the hospital. Medical records will offer rich and detailed information.</w:t>
      </w:r>
    </w:p>
    <w:p w:rsidR="00FC2AC1" w:rsidRPr="00202DEE" w:rsidRDefault="00874695" w:rsidP="00202DEE">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The use of social media platforms is significant in learning the daily activities carried out by the patient. The patient's social media will help to know his lifestyle, behaviors, and events that occur in his life.</w:t>
      </w:r>
    </w:p>
    <w:p w:rsidR="00FC2AC1" w:rsidRPr="00202DEE" w:rsidRDefault="00874695" w:rsidP="00202DEE">
      <w:pPr>
        <w:spacing w:after="0" w:line="480" w:lineRule="auto"/>
        <w:ind w:firstLine="851"/>
        <w:jc w:val="center"/>
        <w:rPr>
          <w:rFonts w:ascii="Times New Roman" w:hAnsi="Times New Roman" w:cs="Times New Roman"/>
          <w:b/>
          <w:bCs/>
          <w:color w:val="000000" w:themeColor="text1"/>
          <w:sz w:val="24"/>
          <w:szCs w:val="24"/>
        </w:rPr>
      </w:pPr>
      <w:r w:rsidRPr="00202DEE">
        <w:rPr>
          <w:rFonts w:ascii="Times New Roman" w:hAnsi="Times New Roman" w:cs="Times New Roman"/>
          <w:b/>
          <w:bCs/>
          <w:color w:val="000000" w:themeColor="text1"/>
          <w:sz w:val="24"/>
          <w:szCs w:val="24"/>
        </w:rPr>
        <w:t>Societal</w:t>
      </w:r>
      <w:r w:rsidR="00FC3AEA">
        <w:rPr>
          <w:rFonts w:ascii="Times New Roman" w:hAnsi="Times New Roman" w:cs="Times New Roman"/>
          <w:b/>
          <w:bCs/>
          <w:color w:val="000000" w:themeColor="text1"/>
          <w:sz w:val="24"/>
          <w:szCs w:val="24"/>
        </w:rPr>
        <w:t>,</w:t>
      </w:r>
      <w:r w:rsidRPr="00202DEE">
        <w:rPr>
          <w:rFonts w:ascii="Times New Roman" w:hAnsi="Times New Roman" w:cs="Times New Roman"/>
          <w:b/>
          <w:bCs/>
          <w:color w:val="000000" w:themeColor="text1"/>
          <w:sz w:val="24"/>
          <w:szCs w:val="24"/>
        </w:rPr>
        <w:t xml:space="preserve"> Economic and Interdisciplinary Factors Affecting Patient Care</w:t>
      </w:r>
    </w:p>
    <w:p w:rsidR="00FC2AC1" w:rsidRPr="00202DEE" w:rsidRDefault="00874695" w:rsidP="00202DEE">
      <w:p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 xml:space="preserve">Various factors influence the results of health care for Mr. Decker. One of the factors is his age. </w:t>
      </w:r>
      <w:r w:rsidR="00A95480" w:rsidRPr="00202DEE">
        <w:rPr>
          <w:rFonts w:ascii="Times New Roman" w:hAnsi="Times New Roman" w:cs="Times New Roman"/>
          <w:color w:val="000000" w:themeColor="text1"/>
          <w:sz w:val="24"/>
          <w:szCs w:val="24"/>
        </w:rPr>
        <w:t>Since Mr. Decker is a patient who is old, there is a need to evaluate the physiological transitions that have affected his health and how they relate to the outcomes of health care services. Haydari, Sharifi &amp; Moghaddam, 2019) stated that the physiological changes which occur in old age affect the diagnosis, treatment, and prognosis of elderly patients. An elderly patient is linked to clinical features such as loss of appetite, dehydration, lethargy, and psychological illnesses, which affects the diagnosis of diseases. The elderly population affected by sepsis has increased risks of mortality due to lower immunity and diminished recovery rate (Clifford et al., 2016).  Therefore, the age factor of the patient is significant in the treatment process. The support system is another significant factor that needs to be evaluated in the care of the patient.</w:t>
      </w:r>
    </w:p>
    <w:p w:rsidR="00FC2AC1" w:rsidRPr="00202DEE" w:rsidRDefault="00A95480" w:rsidP="00202DEE">
      <w:p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 xml:space="preserve">Mr. Decker has a diminished support system from family and friends. His wife is also an older adult while his children are far away, and they visit him rarely. </w:t>
      </w:r>
      <w:r w:rsidR="004B78CB" w:rsidRPr="00202DEE">
        <w:rPr>
          <w:rFonts w:ascii="Times New Roman" w:hAnsi="Times New Roman" w:cs="Times New Roman"/>
          <w:color w:val="000000" w:themeColor="text1"/>
          <w:sz w:val="24"/>
          <w:szCs w:val="24"/>
        </w:rPr>
        <w:t>The assistance that he gets is provided by his nephew, who also offer</w:t>
      </w:r>
      <w:r w:rsidR="00857A11">
        <w:rPr>
          <w:rFonts w:ascii="Times New Roman" w:hAnsi="Times New Roman" w:cs="Times New Roman"/>
          <w:color w:val="000000" w:themeColor="text1"/>
          <w:sz w:val="24"/>
          <w:szCs w:val="24"/>
        </w:rPr>
        <w:t>s</w:t>
      </w:r>
      <w:r w:rsidR="004B78CB" w:rsidRPr="00202DEE">
        <w:rPr>
          <w:rFonts w:ascii="Times New Roman" w:hAnsi="Times New Roman" w:cs="Times New Roman"/>
          <w:color w:val="000000" w:themeColor="text1"/>
          <w:sz w:val="24"/>
          <w:szCs w:val="24"/>
        </w:rPr>
        <w:t xml:space="preserve"> assistance infrequently. His friend, who is old, visits him occasionally as he has arthritis and is restricted from mobility. Poor executions of the instructions provided in the hospital show the absence of support from close people. Reblin&amp; Uchino (2015) opines that emotional and social support from people enhances positive health outcomes. Therefore, social support is a significant factor to be </w:t>
      </w:r>
      <w:r w:rsidR="004B78CB" w:rsidRPr="00202DEE">
        <w:rPr>
          <w:rFonts w:ascii="Times New Roman" w:hAnsi="Times New Roman" w:cs="Times New Roman"/>
          <w:color w:val="000000" w:themeColor="text1"/>
          <w:sz w:val="24"/>
          <w:szCs w:val="24"/>
        </w:rPr>
        <w:lastRenderedPageBreak/>
        <w:t xml:space="preserve">considered for the patient. Also, the patient's financial status should be considered in the care of the patient since he is old. The lack of affordability to the Medicare insurance program affects the health care </w:t>
      </w:r>
      <w:r w:rsidR="00101B6A" w:rsidRPr="00202DEE">
        <w:rPr>
          <w:rFonts w:ascii="Times New Roman" w:hAnsi="Times New Roman" w:cs="Times New Roman"/>
          <w:color w:val="000000" w:themeColor="text1"/>
          <w:sz w:val="24"/>
          <w:szCs w:val="24"/>
        </w:rPr>
        <w:t>outcomes of the patient. Having an underlying medical condition is another significant issue for Mr. Decker. Diabetes increases the risk of sepsis in patients. The immune system of the patient is affected, and increased bacterial build-up is enhanced. Therefore, the presence of diabetes in the patient should be addressed.</w:t>
      </w:r>
    </w:p>
    <w:p w:rsidR="00101B6A" w:rsidRPr="00202DEE" w:rsidRDefault="0010138C" w:rsidP="00202DEE">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Benefits of </w:t>
      </w:r>
      <w:r w:rsidR="00874695" w:rsidRPr="00202DEE">
        <w:rPr>
          <w:rFonts w:ascii="Times New Roman" w:hAnsi="Times New Roman" w:cs="Times New Roman"/>
          <w:b/>
          <w:bCs/>
          <w:color w:val="000000" w:themeColor="text1"/>
          <w:sz w:val="24"/>
          <w:szCs w:val="24"/>
        </w:rPr>
        <w:t>Multidisciplinary Approach</w:t>
      </w:r>
      <w:r>
        <w:rPr>
          <w:rFonts w:ascii="Times New Roman" w:hAnsi="Times New Roman" w:cs="Times New Roman"/>
          <w:b/>
          <w:bCs/>
          <w:color w:val="000000" w:themeColor="text1"/>
          <w:sz w:val="24"/>
          <w:szCs w:val="24"/>
        </w:rPr>
        <w:t xml:space="preserve"> to Patient Care</w:t>
      </w:r>
    </w:p>
    <w:p w:rsidR="00101B6A" w:rsidRPr="00202DEE" w:rsidRDefault="00874695" w:rsidP="00202DEE">
      <w:p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The use of a multidisciplinary approach is significant in the care of the patient. The collaboration of professionals from different fields in health care enhances healthcare effectiveness for Mr. Decker. The main advantage of the multidisciplinary approach, for this case, is the filling of the gaps. For example, the gap of poor follow-up services can be enhanced by including the public health department to follow up on the community's patient. An interdisciplinary approach will ensure that readmissions rates are</w:t>
      </w:r>
      <w:r w:rsidR="00857A11">
        <w:rPr>
          <w:rFonts w:ascii="Times New Roman" w:hAnsi="Times New Roman" w:cs="Times New Roman"/>
          <w:color w:val="000000" w:themeColor="text1"/>
          <w:sz w:val="24"/>
          <w:szCs w:val="24"/>
        </w:rPr>
        <w:t xml:space="preserve"> reduced. Nancarrow et al. (2017) stated </w:t>
      </w:r>
      <w:r w:rsidRPr="00202DEE">
        <w:rPr>
          <w:rFonts w:ascii="Times New Roman" w:hAnsi="Times New Roman" w:cs="Times New Roman"/>
          <w:color w:val="000000" w:themeColor="text1"/>
          <w:sz w:val="24"/>
          <w:szCs w:val="24"/>
        </w:rPr>
        <w:t xml:space="preserve">that the use of an interdisciplinary approach enhances competency in health care services, which enhances </w:t>
      </w:r>
      <w:r w:rsidR="00202DEE" w:rsidRPr="00202DEE">
        <w:rPr>
          <w:rFonts w:ascii="Times New Roman" w:hAnsi="Times New Roman" w:cs="Times New Roman"/>
          <w:color w:val="000000" w:themeColor="text1"/>
          <w:sz w:val="24"/>
          <w:szCs w:val="24"/>
        </w:rPr>
        <w:t>positive</w:t>
      </w:r>
      <w:r w:rsidRPr="00202DEE">
        <w:rPr>
          <w:rFonts w:ascii="Times New Roman" w:hAnsi="Times New Roman" w:cs="Times New Roman"/>
          <w:color w:val="000000" w:themeColor="text1"/>
          <w:sz w:val="24"/>
          <w:szCs w:val="24"/>
        </w:rPr>
        <w:t xml:space="preserve"> patient outcomes. </w:t>
      </w:r>
    </w:p>
    <w:p w:rsidR="00FC2AC1" w:rsidRPr="00202DEE" w:rsidRDefault="00FC3AEA" w:rsidP="00202DEE">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Relating Patient Care and Care Coordination Outcomes to Professional Standards</w:t>
      </w:r>
    </w:p>
    <w:p w:rsidR="00C272C2" w:rsidRPr="00202DEE" w:rsidRDefault="00874695" w:rsidP="00202DEE">
      <w:p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 xml:space="preserve">The outcomes of patient care provide proof that care coordination plans were developed effectively. The outcomes of the patient are compared with the standards that were developed for the care plan. One of the strategies in the coordination of care is the use of safety plans for the patient. Care coordination and patient safety will be measured through the use of Joint Commissions National Patient Safety Goals. The Joint Commission is a significant element as it provides annual goals for patient safety. In Mr. Decker's case, the infection prevention following acute infection was 100%, which was managed successfully without complications. Therefore, it is expected that when the care is well-coordinated </w:t>
      </w:r>
      <w:r w:rsidRPr="00202DEE">
        <w:rPr>
          <w:rFonts w:ascii="Times New Roman" w:hAnsi="Times New Roman" w:cs="Times New Roman"/>
          <w:color w:val="000000" w:themeColor="text1"/>
          <w:sz w:val="24"/>
          <w:szCs w:val="24"/>
        </w:rPr>
        <w:lastRenderedPageBreak/>
        <w:t>through collaborations, the readmission will be well managed, and recovery will be enhanced.</w:t>
      </w:r>
    </w:p>
    <w:p w:rsidR="00C272C2" w:rsidRPr="00202DEE" w:rsidRDefault="00234A51" w:rsidP="00202DEE">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Best Practices from the Perspective of Population Health on Patient Outcomes</w:t>
      </w:r>
    </w:p>
    <w:p w:rsidR="00C272C2" w:rsidRPr="00202DEE" w:rsidRDefault="00857A11" w:rsidP="00202DEE">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collaborative interventions</w:t>
      </w:r>
      <w:r w:rsidR="002E3416" w:rsidRPr="00202DEE">
        <w:rPr>
          <w:rFonts w:ascii="Times New Roman" w:hAnsi="Times New Roman" w:cs="Times New Roman"/>
          <w:color w:val="000000" w:themeColor="text1"/>
          <w:sz w:val="24"/>
          <w:szCs w:val="24"/>
        </w:rPr>
        <w:t xml:space="preserve"> address the needs of different populations in different settings in developing partnerships in the delivery of primary care. Offering primary care to patients is effective and does not require specificity to address a</w:t>
      </w:r>
      <w:r>
        <w:rPr>
          <w:rFonts w:ascii="Times New Roman" w:hAnsi="Times New Roman" w:cs="Times New Roman"/>
          <w:color w:val="000000" w:themeColor="text1"/>
          <w:sz w:val="24"/>
          <w:szCs w:val="24"/>
        </w:rPr>
        <w:t>ny population's needs. Shi (2018) asserted</w:t>
      </w:r>
      <w:r w:rsidR="002E3416" w:rsidRPr="00202DEE">
        <w:rPr>
          <w:rFonts w:ascii="Times New Roman" w:hAnsi="Times New Roman" w:cs="Times New Roman"/>
          <w:color w:val="000000" w:themeColor="text1"/>
          <w:sz w:val="24"/>
          <w:szCs w:val="24"/>
        </w:rPr>
        <w:t xml:space="preserve"> that primary care is the cornerstone of developing a strong health care system. Primary care enhances equity and positive outcomes. When the health care team collaborates to provide primary care, the patient's outcomes are enhanced despite the population group or the setting of the patient.</w:t>
      </w:r>
      <w:r w:rsidR="00B36C30">
        <w:rPr>
          <w:rFonts w:ascii="Times New Roman" w:hAnsi="Times New Roman" w:cs="Times New Roman"/>
          <w:color w:val="000000" w:themeColor="text1"/>
          <w:sz w:val="24"/>
          <w:szCs w:val="24"/>
        </w:rPr>
        <w:t xml:space="preserve"> Since the patient is an elderly individual, the use of primary care will enhance positive outcomes as it will ensure that the needs of the patient are addressed effectively. </w:t>
      </w:r>
    </w:p>
    <w:p w:rsidR="002E3416" w:rsidRPr="00202DEE" w:rsidRDefault="00872492" w:rsidP="00202DEE">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Evidence-Based Practice for Successful Implementation of Patient Care Coordination</w:t>
      </w:r>
    </w:p>
    <w:p w:rsidR="002E3416" w:rsidRPr="00202DEE" w:rsidRDefault="00874695" w:rsidP="00202DEE">
      <w:p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For patients who have sepsis, the following evidence-based practices have been suggested:</w:t>
      </w:r>
    </w:p>
    <w:p w:rsidR="002C3F4E" w:rsidRPr="00202DEE" w:rsidRDefault="00874695" w:rsidP="00202DEE">
      <w:pPr>
        <w:pStyle w:val="ListParagraph"/>
        <w:numPr>
          <w:ilvl w:val="0"/>
          <w:numId w:val="3"/>
        </w:num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 xml:space="preserve">Measuring the lactate level of the patient. </w:t>
      </w:r>
    </w:p>
    <w:p w:rsidR="002C3F4E" w:rsidRPr="00202DEE" w:rsidRDefault="00874695" w:rsidP="00202DEE">
      <w:pPr>
        <w:pStyle w:val="ListParagraph"/>
        <w:numPr>
          <w:ilvl w:val="0"/>
          <w:numId w:val="3"/>
        </w:num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Obtaining blood cultures before the administration of medications. This has been provided to be significant in enhancing evidence-based treatment</w:t>
      </w:r>
      <w:r w:rsidR="00896267" w:rsidRPr="00202DEE">
        <w:rPr>
          <w:rFonts w:ascii="Times New Roman" w:hAnsi="Times New Roman" w:cs="Times New Roman"/>
          <w:color w:val="000000" w:themeColor="text1"/>
          <w:sz w:val="24"/>
          <w:szCs w:val="24"/>
        </w:rPr>
        <w:t xml:space="preserve"> (Baig, 2016)</w:t>
      </w:r>
      <w:r w:rsidRPr="00202DEE">
        <w:rPr>
          <w:rFonts w:ascii="Times New Roman" w:hAnsi="Times New Roman" w:cs="Times New Roman"/>
          <w:color w:val="000000" w:themeColor="text1"/>
          <w:sz w:val="24"/>
          <w:szCs w:val="24"/>
        </w:rPr>
        <w:t xml:space="preserve">. </w:t>
      </w:r>
    </w:p>
    <w:p w:rsidR="002C3F4E" w:rsidRPr="00202DEE" w:rsidRDefault="00874695" w:rsidP="00202DEE">
      <w:pPr>
        <w:pStyle w:val="ListParagraph"/>
        <w:numPr>
          <w:ilvl w:val="0"/>
          <w:numId w:val="3"/>
        </w:num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t xml:space="preserve">GENESIS (Generalized Early Sepsis Interventions Strategies). This strategy enhances the improvement of quality of care </w:t>
      </w:r>
      <w:r w:rsidR="00896267" w:rsidRPr="00202DEE">
        <w:rPr>
          <w:rFonts w:ascii="Times New Roman" w:hAnsi="Times New Roman" w:cs="Times New Roman"/>
          <w:color w:val="000000" w:themeColor="text1"/>
          <w:sz w:val="24"/>
          <w:szCs w:val="24"/>
        </w:rPr>
        <w:t>for sepsis. The program is significant in the identification of sepsis emergencies, enhancing interventions, and feedback.</w:t>
      </w:r>
    </w:p>
    <w:p w:rsidR="00101B6A" w:rsidRPr="00202DEE" w:rsidRDefault="00874695" w:rsidP="00202DEE">
      <w:pPr>
        <w:spacing w:after="0" w:line="480" w:lineRule="auto"/>
        <w:ind w:firstLine="851"/>
        <w:jc w:val="center"/>
        <w:rPr>
          <w:rFonts w:ascii="Times New Roman" w:hAnsi="Times New Roman" w:cs="Times New Roman"/>
          <w:b/>
          <w:bCs/>
          <w:color w:val="000000" w:themeColor="text1"/>
          <w:sz w:val="24"/>
          <w:szCs w:val="24"/>
        </w:rPr>
      </w:pPr>
      <w:r w:rsidRPr="00202DEE">
        <w:rPr>
          <w:rFonts w:ascii="Times New Roman" w:hAnsi="Times New Roman" w:cs="Times New Roman"/>
          <w:b/>
          <w:bCs/>
          <w:color w:val="000000" w:themeColor="text1"/>
          <w:sz w:val="24"/>
          <w:szCs w:val="24"/>
        </w:rPr>
        <w:t>Conclusion</w:t>
      </w:r>
    </w:p>
    <w:p w:rsidR="00896267" w:rsidRPr="00202DEE" w:rsidRDefault="00874695" w:rsidP="00202DEE">
      <w:pPr>
        <w:spacing w:after="0" w:line="480" w:lineRule="auto"/>
        <w:ind w:firstLine="851"/>
        <w:rPr>
          <w:rFonts w:ascii="Times New Roman" w:hAnsi="Times New Roman" w:cs="Times New Roman"/>
          <w:color w:val="000000" w:themeColor="text1"/>
          <w:sz w:val="24"/>
          <w:szCs w:val="24"/>
        </w:rPr>
      </w:pPr>
      <w:r w:rsidRPr="00202DEE">
        <w:rPr>
          <w:rFonts w:ascii="Times New Roman" w:hAnsi="Times New Roman" w:cs="Times New Roman"/>
          <w:color w:val="000000" w:themeColor="text1"/>
          <w:sz w:val="24"/>
          <w:szCs w:val="24"/>
        </w:rPr>
        <w:lastRenderedPageBreak/>
        <w:t xml:space="preserve">The case of Mr. Decker has been analyzed, and factors such as financial constraints, diminished social support, aging, and diabetes have been well identified. The identification of these factors enhances the successful management of the patient. The proposed outcomes for the patient have been developed following the suggestion of coordinated care and evidenced-based practice. The case </w:t>
      </w:r>
      <w:r w:rsidR="00202DEE" w:rsidRPr="00202DEE">
        <w:rPr>
          <w:rFonts w:ascii="Times New Roman" w:hAnsi="Times New Roman" w:cs="Times New Roman"/>
          <w:color w:val="000000" w:themeColor="text1"/>
          <w:sz w:val="24"/>
          <w:szCs w:val="24"/>
        </w:rPr>
        <w:t>has</w:t>
      </w:r>
      <w:r w:rsidRPr="00202DEE">
        <w:rPr>
          <w:rFonts w:ascii="Times New Roman" w:hAnsi="Times New Roman" w:cs="Times New Roman"/>
          <w:color w:val="000000" w:themeColor="text1"/>
          <w:sz w:val="24"/>
          <w:szCs w:val="24"/>
        </w:rPr>
        <w:t xml:space="preserve"> provided a multidisciplinary approach management need for the patient, which has been suggested by the researchers to be significant.  </w:t>
      </w: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Default="00202DEE" w:rsidP="00202DEE">
      <w:pPr>
        <w:spacing w:after="0" w:line="480" w:lineRule="auto"/>
        <w:ind w:firstLine="851"/>
        <w:rPr>
          <w:rFonts w:ascii="Times New Roman" w:hAnsi="Times New Roman" w:cs="Times New Roman"/>
          <w:color w:val="000000" w:themeColor="text1"/>
          <w:sz w:val="24"/>
          <w:szCs w:val="24"/>
        </w:rPr>
      </w:pPr>
    </w:p>
    <w:p w:rsidR="00202DEE" w:rsidRPr="00202DEE" w:rsidRDefault="00874695" w:rsidP="00202DEE">
      <w:pPr>
        <w:spacing w:after="0" w:line="480" w:lineRule="auto"/>
        <w:ind w:firstLine="851"/>
        <w:jc w:val="center"/>
        <w:rPr>
          <w:rFonts w:ascii="Times New Roman" w:hAnsi="Times New Roman" w:cs="Times New Roman"/>
          <w:b/>
          <w:bCs/>
          <w:color w:val="000000" w:themeColor="text1"/>
          <w:sz w:val="24"/>
          <w:szCs w:val="24"/>
        </w:rPr>
      </w:pPr>
      <w:r w:rsidRPr="00202DEE">
        <w:rPr>
          <w:rFonts w:ascii="Times New Roman" w:hAnsi="Times New Roman" w:cs="Times New Roman"/>
          <w:b/>
          <w:bCs/>
          <w:color w:val="000000" w:themeColor="text1"/>
          <w:sz w:val="24"/>
          <w:szCs w:val="24"/>
        </w:rPr>
        <w:t>References</w:t>
      </w:r>
    </w:p>
    <w:p w:rsidR="00202DEE" w:rsidRPr="00202DEE" w:rsidRDefault="00874695" w:rsidP="00202DEE">
      <w:pPr>
        <w:spacing w:after="0" w:line="480" w:lineRule="auto"/>
        <w:ind w:left="851" w:hanging="851"/>
        <w:rPr>
          <w:rFonts w:ascii="Times New Roman" w:hAnsi="Times New Roman" w:cs="Times New Roman"/>
          <w:color w:val="000000" w:themeColor="text1"/>
          <w:sz w:val="24"/>
          <w:szCs w:val="24"/>
          <w:shd w:val="clear" w:color="auto" w:fill="FFFFFF"/>
        </w:rPr>
      </w:pPr>
      <w:r w:rsidRPr="00202DEE">
        <w:rPr>
          <w:rFonts w:ascii="Times New Roman" w:hAnsi="Times New Roman" w:cs="Times New Roman"/>
          <w:color w:val="000000" w:themeColor="text1"/>
          <w:sz w:val="24"/>
          <w:szCs w:val="24"/>
          <w:shd w:val="clear" w:color="auto" w:fill="FFFFFF"/>
        </w:rPr>
        <w:t>Baig, M. (2016). </w:t>
      </w:r>
      <w:r w:rsidRPr="00202DEE">
        <w:rPr>
          <w:rFonts w:ascii="Times New Roman" w:hAnsi="Times New Roman" w:cs="Times New Roman"/>
          <w:i/>
          <w:iCs/>
          <w:color w:val="000000" w:themeColor="text1"/>
          <w:sz w:val="24"/>
          <w:szCs w:val="24"/>
          <w:shd w:val="clear" w:color="auto" w:fill="FFFFFF"/>
        </w:rPr>
        <w:t>Sepsis management: An evidence-based approach</w:t>
      </w:r>
      <w:r w:rsidRPr="00202DEE">
        <w:rPr>
          <w:rFonts w:ascii="Times New Roman" w:hAnsi="Times New Roman" w:cs="Times New Roman"/>
          <w:color w:val="000000" w:themeColor="text1"/>
          <w:sz w:val="24"/>
          <w:szCs w:val="24"/>
          <w:shd w:val="clear" w:color="auto" w:fill="FFFFFF"/>
        </w:rPr>
        <w:t xml:space="preserve">. PubMed. Retrieved 28 October 2020, from </w:t>
      </w:r>
      <w:hyperlink r:id="rId7" w:history="1">
        <w:r w:rsidRPr="00202DEE">
          <w:rPr>
            <w:rStyle w:val="Hyperlink"/>
            <w:rFonts w:ascii="Times New Roman" w:hAnsi="Times New Roman" w:cs="Times New Roman"/>
            <w:color w:val="000000" w:themeColor="text1"/>
            <w:sz w:val="24"/>
            <w:szCs w:val="24"/>
            <w:u w:val="none"/>
            <w:shd w:val="clear" w:color="auto" w:fill="FFFFFF"/>
          </w:rPr>
          <w:t>https://pubmed.ncbi.nlm.nih.gov/26968289/</w:t>
        </w:r>
      </w:hyperlink>
      <w:r w:rsidRPr="00202DEE">
        <w:rPr>
          <w:rFonts w:ascii="Times New Roman" w:hAnsi="Times New Roman" w:cs="Times New Roman"/>
          <w:color w:val="000000" w:themeColor="text1"/>
          <w:sz w:val="24"/>
          <w:szCs w:val="24"/>
          <w:shd w:val="clear" w:color="auto" w:fill="FFFFFF"/>
        </w:rPr>
        <w:t>.</w:t>
      </w:r>
    </w:p>
    <w:p w:rsidR="00202DEE" w:rsidRPr="00202DEE" w:rsidRDefault="00874695" w:rsidP="00202DEE">
      <w:pPr>
        <w:spacing w:after="0" w:line="480" w:lineRule="auto"/>
        <w:ind w:left="851" w:hanging="851"/>
        <w:rPr>
          <w:rFonts w:ascii="Times New Roman" w:hAnsi="Times New Roman" w:cs="Times New Roman"/>
          <w:b/>
          <w:bCs/>
          <w:color w:val="000000" w:themeColor="text1"/>
          <w:sz w:val="24"/>
          <w:szCs w:val="24"/>
        </w:rPr>
      </w:pPr>
      <w:r w:rsidRPr="00202DEE">
        <w:rPr>
          <w:rFonts w:ascii="Times New Roman" w:hAnsi="Times New Roman" w:cs="Times New Roman"/>
          <w:color w:val="000000" w:themeColor="text1"/>
          <w:sz w:val="24"/>
          <w:szCs w:val="24"/>
          <w:shd w:val="clear" w:color="auto" w:fill="FFFFFF"/>
        </w:rPr>
        <w:t>Bélanger, L., Desmartis, M., &amp; Coulombe, M. (2018). Barriers and facilitators to family participation in the care of their hospitalized loved ones. Retrieved 28 October 2020, from https://pxjournal.org/cgi/viewcontent.cgi?article=1250&amp;context=journal.</w:t>
      </w:r>
    </w:p>
    <w:p w:rsidR="00202DEE" w:rsidRPr="00202DEE" w:rsidRDefault="00874695" w:rsidP="00202DEE">
      <w:pPr>
        <w:spacing w:after="0" w:line="480" w:lineRule="auto"/>
        <w:ind w:left="851" w:hanging="851"/>
        <w:rPr>
          <w:rFonts w:ascii="Times New Roman" w:hAnsi="Times New Roman" w:cs="Times New Roman"/>
          <w:color w:val="000000" w:themeColor="text1"/>
          <w:sz w:val="24"/>
          <w:szCs w:val="24"/>
          <w:shd w:val="clear" w:color="auto" w:fill="FFFFFF"/>
        </w:rPr>
      </w:pPr>
      <w:r w:rsidRPr="00202DEE">
        <w:rPr>
          <w:rFonts w:ascii="Times New Roman" w:hAnsi="Times New Roman" w:cs="Times New Roman"/>
          <w:color w:val="000000" w:themeColor="text1"/>
          <w:sz w:val="24"/>
          <w:szCs w:val="24"/>
          <w:shd w:val="clear" w:color="auto" w:fill="FFFFFF"/>
        </w:rPr>
        <w:t>Clifford, K. M., Dy-Boarman, E. A., Haase, K. K., Maxvill, K., Pass, S. E., &amp; Alvarez, C. A. (2016). Challenges with Diagnosing and Managing Sepsis in Older Adults. </w:t>
      </w:r>
      <w:r w:rsidRPr="00202DEE">
        <w:rPr>
          <w:rFonts w:ascii="Times New Roman" w:hAnsi="Times New Roman" w:cs="Times New Roman"/>
          <w:i/>
          <w:iCs/>
          <w:color w:val="000000" w:themeColor="text1"/>
          <w:sz w:val="24"/>
          <w:szCs w:val="24"/>
          <w:shd w:val="clear" w:color="auto" w:fill="FFFFFF"/>
        </w:rPr>
        <w:t>Expert review of anti-infective therapy</w:t>
      </w:r>
      <w:r w:rsidRPr="00202DEE">
        <w:rPr>
          <w:rFonts w:ascii="Times New Roman" w:hAnsi="Times New Roman" w:cs="Times New Roman"/>
          <w:color w:val="000000" w:themeColor="text1"/>
          <w:sz w:val="24"/>
          <w:szCs w:val="24"/>
          <w:shd w:val="clear" w:color="auto" w:fill="FFFFFF"/>
        </w:rPr>
        <w:t>, </w:t>
      </w:r>
      <w:r w:rsidRPr="00202DEE">
        <w:rPr>
          <w:rFonts w:ascii="Times New Roman" w:hAnsi="Times New Roman" w:cs="Times New Roman"/>
          <w:i/>
          <w:iCs/>
          <w:color w:val="000000" w:themeColor="text1"/>
          <w:sz w:val="24"/>
          <w:szCs w:val="24"/>
          <w:shd w:val="clear" w:color="auto" w:fill="FFFFFF"/>
        </w:rPr>
        <w:t>14</w:t>
      </w:r>
      <w:r w:rsidRPr="00202DEE">
        <w:rPr>
          <w:rFonts w:ascii="Times New Roman" w:hAnsi="Times New Roman" w:cs="Times New Roman"/>
          <w:color w:val="000000" w:themeColor="text1"/>
          <w:sz w:val="24"/>
          <w:szCs w:val="24"/>
          <w:shd w:val="clear" w:color="auto" w:fill="FFFFFF"/>
        </w:rPr>
        <w:t xml:space="preserve">(2), 231–241. </w:t>
      </w:r>
      <w:hyperlink r:id="rId8" w:history="1">
        <w:r w:rsidRPr="00202DEE">
          <w:rPr>
            <w:rStyle w:val="Hyperlink"/>
            <w:rFonts w:ascii="Times New Roman" w:hAnsi="Times New Roman" w:cs="Times New Roman"/>
            <w:color w:val="000000" w:themeColor="text1"/>
            <w:sz w:val="24"/>
            <w:szCs w:val="24"/>
            <w:u w:val="none"/>
            <w:shd w:val="clear" w:color="auto" w:fill="FFFFFF"/>
          </w:rPr>
          <w:t>https://doi.org/10.1586/14787210.2016.1135052</w:t>
        </w:r>
      </w:hyperlink>
    </w:p>
    <w:p w:rsidR="00202DEE" w:rsidRPr="00202DEE" w:rsidRDefault="00874695" w:rsidP="00202DEE">
      <w:pPr>
        <w:spacing w:after="0" w:line="480" w:lineRule="auto"/>
        <w:ind w:left="851" w:hanging="851"/>
        <w:rPr>
          <w:rFonts w:ascii="Times New Roman" w:hAnsi="Times New Roman" w:cs="Times New Roman"/>
          <w:color w:val="000000" w:themeColor="text1"/>
          <w:sz w:val="24"/>
          <w:szCs w:val="24"/>
          <w:shd w:val="clear" w:color="auto" w:fill="FFFFFF"/>
        </w:rPr>
      </w:pPr>
      <w:r w:rsidRPr="00202DEE">
        <w:rPr>
          <w:rFonts w:ascii="Times New Roman" w:hAnsi="Times New Roman" w:cs="Times New Roman"/>
          <w:color w:val="000000" w:themeColor="text1"/>
          <w:sz w:val="24"/>
          <w:szCs w:val="24"/>
          <w:shd w:val="clear" w:color="auto" w:fill="FFFFFF"/>
        </w:rPr>
        <w:t>Costantino, M. E., Frey, B</w:t>
      </w:r>
      <w:r w:rsidR="00857A11">
        <w:rPr>
          <w:rFonts w:ascii="Times New Roman" w:hAnsi="Times New Roman" w:cs="Times New Roman"/>
          <w:color w:val="000000" w:themeColor="text1"/>
          <w:sz w:val="24"/>
          <w:szCs w:val="24"/>
          <w:shd w:val="clear" w:color="auto" w:fill="FFFFFF"/>
        </w:rPr>
        <w:t>., Hall, B., &amp; Painter, P. (2017</w:t>
      </w:r>
      <w:r w:rsidRPr="00202DEE">
        <w:rPr>
          <w:rFonts w:ascii="Times New Roman" w:hAnsi="Times New Roman" w:cs="Times New Roman"/>
          <w:color w:val="000000" w:themeColor="text1"/>
          <w:sz w:val="24"/>
          <w:szCs w:val="24"/>
          <w:shd w:val="clear" w:color="auto" w:fill="FFFFFF"/>
        </w:rPr>
        <w:t>). The influence of a post-discharge intervention on reducing hospital readmissions in a Medicare population. </w:t>
      </w:r>
      <w:r w:rsidRPr="00202DEE">
        <w:rPr>
          <w:rFonts w:ascii="Times New Roman" w:hAnsi="Times New Roman" w:cs="Times New Roman"/>
          <w:i/>
          <w:iCs/>
          <w:color w:val="000000" w:themeColor="text1"/>
          <w:sz w:val="24"/>
          <w:szCs w:val="24"/>
          <w:shd w:val="clear" w:color="auto" w:fill="FFFFFF"/>
        </w:rPr>
        <w:t>Population health management</w:t>
      </w:r>
      <w:r w:rsidRPr="00202DEE">
        <w:rPr>
          <w:rFonts w:ascii="Times New Roman" w:hAnsi="Times New Roman" w:cs="Times New Roman"/>
          <w:color w:val="000000" w:themeColor="text1"/>
          <w:sz w:val="24"/>
          <w:szCs w:val="24"/>
          <w:shd w:val="clear" w:color="auto" w:fill="FFFFFF"/>
        </w:rPr>
        <w:t>, </w:t>
      </w:r>
      <w:r w:rsidRPr="00202DEE">
        <w:rPr>
          <w:rFonts w:ascii="Times New Roman" w:hAnsi="Times New Roman" w:cs="Times New Roman"/>
          <w:i/>
          <w:iCs/>
          <w:color w:val="000000" w:themeColor="text1"/>
          <w:sz w:val="24"/>
          <w:szCs w:val="24"/>
          <w:shd w:val="clear" w:color="auto" w:fill="FFFFFF"/>
        </w:rPr>
        <w:t>16</w:t>
      </w:r>
      <w:r w:rsidRPr="00202DEE">
        <w:rPr>
          <w:rFonts w:ascii="Times New Roman" w:hAnsi="Times New Roman" w:cs="Times New Roman"/>
          <w:color w:val="000000" w:themeColor="text1"/>
          <w:sz w:val="24"/>
          <w:szCs w:val="24"/>
          <w:shd w:val="clear" w:color="auto" w:fill="FFFFFF"/>
        </w:rPr>
        <w:t xml:space="preserve">(5), 310–316. </w:t>
      </w:r>
      <w:hyperlink r:id="rId9" w:history="1">
        <w:r w:rsidRPr="00202DEE">
          <w:rPr>
            <w:rStyle w:val="Hyperlink"/>
            <w:rFonts w:ascii="Times New Roman" w:hAnsi="Times New Roman" w:cs="Times New Roman"/>
            <w:color w:val="000000" w:themeColor="text1"/>
            <w:sz w:val="24"/>
            <w:szCs w:val="24"/>
            <w:u w:val="none"/>
            <w:shd w:val="clear" w:color="auto" w:fill="FFFFFF"/>
          </w:rPr>
          <w:t>https://doi.org/10.1089/pop.2012.0084</w:t>
        </w:r>
      </w:hyperlink>
    </w:p>
    <w:p w:rsidR="00202DEE" w:rsidRPr="00202DEE" w:rsidRDefault="00874695" w:rsidP="00202DEE">
      <w:pPr>
        <w:spacing w:after="0" w:line="480" w:lineRule="auto"/>
        <w:ind w:left="851" w:hanging="851"/>
        <w:rPr>
          <w:rFonts w:ascii="Times New Roman" w:hAnsi="Times New Roman" w:cs="Times New Roman"/>
          <w:color w:val="000000" w:themeColor="text1"/>
          <w:sz w:val="24"/>
          <w:szCs w:val="24"/>
          <w:shd w:val="clear" w:color="auto" w:fill="FFFFFF"/>
        </w:rPr>
      </w:pPr>
      <w:r w:rsidRPr="00202DEE">
        <w:rPr>
          <w:rFonts w:ascii="Times New Roman" w:hAnsi="Times New Roman" w:cs="Times New Roman"/>
          <w:color w:val="000000" w:themeColor="text1"/>
          <w:sz w:val="24"/>
          <w:szCs w:val="24"/>
          <w:shd w:val="clear" w:color="auto" w:fill="FFFFFF"/>
        </w:rPr>
        <w:t>Heydari, A., Sharifi, M., &amp;Moghaddam, A. B. (2019). Challenges and Barriers to Providing Care to Older Adult Patients in the Intensive Care Unit: A Qualitative Research. </w:t>
      </w:r>
      <w:r w:rsidRPr="00202DEE">
        <w:rPr>
          <w:rFonts w:ascii="Times New Roman" w:hAnsi="Times New Roman" w:cs="Times New Roman"/>
          <w:i/>
          <w:iCs/>
          <w:color w:val="000000" w:themeColor="text1"/>
          <w:sz w:val="24"/>
          <w:szCs w:val="24"/>
          <w:shd w:val="clear" w:color="auto" w:fill="FFFFFF"/>
        </w:rPr>
        <w:t>Open access Macedonian journal of medical sciences</w:t>
      </w:r>
      <w:r w:rsidRPr="00202DEE">
        <w:rPr>
          <w:rFonts w:ascii="Times New Roman" w:hAnsi="Times New Roman" w:cs="Times New Roman"/>
          <w:color w:val="000000" w:themeColor="text1"/>
          <w:sz w:val="24"/>
          <w:szCs w:val="24"/>
          <w:shd w:val="clear" w:color="auto" w:fill="FFFFFF"/>
        </w:rPr>
        <w:t>, </w:t>
      </w:r>
      <w:r w:rsidRPr="00202DEE">
        <w:rPr>
          <w:rFonts w:ascii="Times New Roman" w:hAnsi="Times New Roman" w:cs="Times New Roman"/>
          <w:i/>
          <w:iCs/>
          <w:color w:val="000000" w:themeColor="text1"/>
          <w:sz w:val="24"/>
          <w:szCs w:val="24"/>
          <w:shd w:val="clear" w:color="auto" w:fill="FFFFFF"/>
        </w:rPr>
        <w:t>7</w:t>
      </w:r>
      <w:r w:rsidRPr="00202DEE">
        <w:rPr>
          <w:rFonts w:ascii="Times New Roman" w:hAnsi="Times New Roman" w:cs="Times New Roman"/>
          <w:color w:val="000000" w:themeColor="text1"/>
          <w:sz w:val="24"/>
          <w:szCs w:val="24"/>
          <w:shd w:val="clear" w:color="auto" w:fill="FFFFFF"/>
        </w:rPr>
        <w:t xml:space="preserve">(21), 3682–3690. </w:t>
      </w:r>
      <w:hyperlink r:id="rId10" w:history="1">
        <w:r w:rsidRPr="00202DEE">
          <w:rPr>
            <w:rStyle w:val="Hyperlink"/>
            <w:rFonts w:ascii="Times New Roman" w:hAnsi="Times New Roman" w:cs="Times New Roman"/>
            <w:color w:val="000000" w:themeColor="text1"/>
            <w:sz w:val="24"/>
            <w:szCs w:val="24"/>
            <w:u w:val="none"/>
            <w:shd w:val="clear" w:color="auto" w:fill="FFFFFF"/>
          </w:rPr>
          <w:t>https://doi.org/10.3889/oamjms.2019.846</w:t>
        </w:r>
      </w:hyperlink>
    </w:p>
    <w:p w:rsidR="00202DEE" w:rsidRPr="00202DEE" w:rsidRDefault="00874695" w:rsidP="00202DEE">
      <w:pPr>
        <w:spacing w:after="0" w:line="480" w:lineRule="auto"/>
        <w:ind w:left="851" w:hanging="851"/>
        <w:rPr>
          <w:rFonts w:ascii="Times New Roman" w:hAnsi="Times New Roman" w:cs="Times New Roman"/>
          <w:color w:val="000000" w:themeColor="text1"/>
          <w:sz w:val="24"/>
          <w:szCs w:val="24"/>
          <w:shd w:val="clear" w:color="auto" w:fill="FFFFFF"/>
        </w:rPr>
      </w:pPr>
      <w:r w:rsidRPr="00202DEE">
        <w:rPr>
          <w:rFonts w:ascii="Times New Roman" w:hAnsi="Times New Roman" w:cs="Times New Roman"/>
          <w:color w:val="000000" w:themeColor="text1"/>
          <w:sz w:val="24"/>
          <w:szCs w:val="24"/>
          <w:shd w:val="clear" w:color="auto" w:fill="FFFFFF"/>
        </w:rPr>
        <w:t>Nancarrow, S. A., Booth, A., Ariss, S., Smith, T.</w:t>
      </w:r>
      <w:r w:rsidR="00857A11">
        <w:rPr>
          <w:rFonts w:ascii="Times New Roman" w:hAnsi="Times New Roman" w:cs="Times New Roman"/>
          <w:color w:val="000000" w:themeColor="text1"/>
          <w:sz w:val="24"/>
          <w:szCs w:val="24"/>
          <w:shd w:val="clear" w:color="auto" w:fill="FFFFFF"/>
        </w:rPr>
        <w:t>, Enderby, P., &amp; Roots, A. (2017</w:t>
      </w:r>
      <w:r w:rsidRPr="00202DEE">
        <w:rPr>
          <w:rFonts w:ascii="Times New Roman" w:hAnsi="Times New Roman" w:cs="Times New Roman"/>
          <w:color w:val="000000" w:themeColor="text1"/>
          <w:sz w:val="24"/>
          <w:szCs w:val="24"/>
          <w:shd w:val="clear" w:color="auto" w:fill="FFFFFF"/>
        </w:rPr>
        <w:t xml:space="preserve">). Ten principles of good interdisciplinary teamwork. </w:t>
      </w:r>
      <w:r w:rsidRPr="00202DEE">
        <w:rPr>
          <w:rFonts w:ascii="Times New Roman" w:hAnsi="Times New Roman" w:cs="Times New Roman"/>
          <w:i/>
          <w:iCs/>
          <w:color w:val="000000" w:themeColor="text1"/>
          <w:sz w:val="24"/>
          <w:szCs w:val="24"/>
          <w:shd w:val="clear" w:color="auto" w:fill="FFFFFF"/>
        </w:rPr>
        <w:t>Human resources for health</w:t>
      </w:r>
      <w:r w:rsidRPr="00202DEE">
        <w:rPr>
          <w:rFonts w:ascii="Times New Roman" w:hAnsi="Times New Roman" w:cs="Times New Roman"/>
          <w:color w:val="000000" w:themeColor="text1"/>
          <w:sz w:val="24"/>
          <w:szCs w:val="24"/>
          <w:shd w:val="clear" w:color="auto" w:fill="FFFFFF"/>
        </w:rPr>
        <w:t>, </w:t>
      </w:r>
      <w:r w:rsidRPr="00202DEE">
        <w:rPr>
          <w:rFonts w:ascii="Times New Roman" w:hAnsi="Times New Roman" w:cs="Times New Roman"/>
          <w:i/>
          <w:iCs/>
          <w:color w:val="000000" w:themeColor="text1"/>
          <w:sz w:val="24"/>
          <w:szCs w:val="24"/>
          <w:shd w:val="clear" w:color="auto" w:fill="FFFFFF"/>
        </w:rPr>
        <w:t>11</w:t>
      </w:r>
      <w:r w:rsidRPr="00202DEE">
        <w:rPr>
          <w:rFonts w:ascii="Times New Roman" w:hAnsi="Times New Roman" w:cs="Times New Roman"/>
          <w:color w:val="000000" w:themeColor="text1"/>
          <w:sz w:val="24"/>
          <w:szCs w:val="24"/>
          <w:shd w:val="clear" w:color="auto" w:fill="FFFFFF"/>
        </w:rPr>
        <w:t xml:space="preserve">, 19. </w:t>
      </w:r>
      <w:hyperlink r:id="rId11" w:history="1">
        <w:r w:rsidRPr="00202DEE">
          <w:rPr>
            <w:rStyle w:val="Hyperlink"/>
            <w:rFonts w:ascii="Times New Roman" w:hAnsi="Times New Roman" w:cs="Times New Roman"/>
            <w:color w:val="000000" w:themeColor="text1"/>
            <w:sz w:val="24"/>
            <w:szCs w:val="24"/>
            <w:u w:val="none"/>
            <w:shd w:val="clear" w:color="auto" w:fill="FFFFFF"/>
          </w:rPr>
          <w:t>https://doi.org/10.1186/1478-4491-11-19</w:t>
        </w:r>
      </w:hyperlink>
    </w:p>
    <w:p w:rsidR="00202DEE" w:rsidRPr="00202DEE" w:rsidRDefault="00874695" w:rsidP="00202DEE">
      <w:pPr>
        <w:spacing w:after="0" w:line="480" w:lineRule="auto"/>
        <w:ind w:left="851" w:hanging="851"/>
        <w:rPr>
          <w:rFonts w:ascii="Times New Roman" w:hAnsi="Times New Roman" w:cs="Times New Roman"/>
          <w:color w:val="000000" w:themeColor="text1"/>
          <w:sz w:val="24"/>
          <w:szCs w:val="24"/>
          <w:shd w:val="clear" w:color="auto" w:fill="FFFFFF"/>
        </w:rPr>
      </w:pPr>
      <w:r w:rsidRPr="00202DEE">
        <w:rPr>
          <w:rFonts w:ascii="Times New Roman" w:hAnsi="Times New Roman" w:cs="Times New Roman"/>
          <w:color w:val="000000" w:themeColor="text1"/>
          <w:sz w:val="24"/>
          <w:szCs w:val="24"/>
          <w:shd w:val="clear" w:color="auto" w:fill="FFFFFF"/>
        </w:rPr>
        <w:lastRenderedPageBreak/>
        <w:t>Reblin, M., &amp; Uchino, B. N. (2015). Social and emotional support and its implication for health. </w:t>
      </w:r>
      <w:r w:rsidRPr="00202DEE">
        <w:rPr>
          <w:rFonts w:ascii="Times New Roman" w:hAnsi="Times New Roman" w:cs="Times New Roman"/>
          <w:i/>
          <w:iCs/>
          <w:color w:val="000000" w:themeColor="text1"/>
          <w:sz w:val="24"/>
          <w:szCs w:val="24"/>
          <w:shd w:val="clear" w:color="auto" w:fill="FFFFFF"/>
        </w:rPr>
        <w:t>Current opinion in psychiatry</w:t>
      </w:r>
      <w:r w:rsidRPr="00202DEE">
        <w:rPr>
          <w:rFonts w:ascii="Times New Roman" w:hAnsi="Times New Roman" w:cs="Times New Roman"/>
          <w:color w:val="000000" w:themeColor="text1"/>
          <w:sz w:val="24"/>
          <w:szCs w:val="24"/>
          <w:shd w:val="clear" w:color="auto" w:fill="FFFFFF"/>
        </w:rPr>
        <w:t>, </w:t>
      </w:r>
      <w:r w:rsidRPr="00202DEE">
        <w:rPr>
          <w:rFonts w:ascii="Times New Roman" w:hAnsi="Times New Roman" w:cs="Times New Roman"/>
          <w:i/>
          <w:iCs/>
          <w:color w:val="000000" w:themeColor="text1"/>
          <w:sz w:val="24"/>
          <w:szCs w:val="24"/>
          <w:shd w:val="clear" w:color="auto" w:fill="FFFFFF"/>
        </w:rPr>
        <w:t>21</w:t>
      </w:r>
      <w:r w:rsidRPr="00202DEE">
        <w:rPr>
          <w:rFonts w:ascii="Times New Roman" w:hAnsi="Times New Roman" w:cs="Times New Roman"/>
          <w:color w:val="000000" w:themeColor="text1"/>
          <w:sz w:val="24"/>
          <w:szCs w:val="24"/>
          <w:shd w:val="clear" w:color="auto" w:fill="FFFFFF"/>
        </w:rPr>
        <w:t xml:space="preserve">(2), 201–205. </w:t>
      </w:r>
      <w:hyperlink r:id="rId12" w:history="1">
        <w:r w:rsidRPr="00202DEE">
          <w:rPr>
            <w:rStyle w:val="Hyperlink"/>
            <w:rFonts w:ascii="Times New Roman" w:hAnsi="Times New Roman" w:cs="Times New Roman"/>
            <w:color w:val="000000" w:themeColor="text1"/>
            <w:sz w:val="24"/>
            <w:szCs w:val="24"/>
            <w:u w:val="none"/>
            <w:shd w:val="clear" w:color="auto" w:fill="FFFFFF"/>
          </w:rPr>
          <w:t>https://doi.org/10.1097/YCO.0b013e3282f3ad89</w:t>
        </w:r>
      </w:hyperlink>
    </w:p>
    <w:p w:rsidR="00202DEE" w:rsidRPr="00202DEE" w:rsidRDefault="00857A11" w:rsidP="00202DEE">
      <w:pPr>
        <w:spacing w:after="0" w:line="480" w:lineRule="auto"/>
        <w:ind w:left="851" w:hanging="851"/>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Shi, L. (2018</w:t>
      </w:r>
      <w:r w:rsidR="00874695" w:rsidRPr="00202DEE">
        <w:rPr>
          <w:rFonts w:ascii="Times New Roman" w:hAnsi="Times New Roman" w:cs="Times New Roman"/>
          <w:color w:val="000000" w:themeColor="text1"/>
          <w:sz w:val="24"/>
          <w:szCs w:val="24"/>
          <w:shd w:val="clear" w:color="auto" w:fill="FFFFFF"/>
        </w:rPr>
        <w:t xml:space="preserve">). The impact of primary care: a focused review. </w:t>
      </w:r>
      <w:r w:rsidR="00874695" w:rsidRPr="00202DEE">
        <w:rPr>
          <w:rFonts w:ascii="Times New Roman" w:hAnsi="Times New Roman" w:cs="Times New Roman"/>
          <w:i/>
          <w:iCs/>
          <w:color w:val="000000" w:themeColor="text1"/>
          <w:sz w:val="24"/>
          <w:szCs w:val="24"/>
          <w:shd w:val="clear" w:color="auto" w:fill="FFFFFF"/>
        </w:rPr>
        <w:t>Scientific</w:t>
      </w:r>
      <w:r w:rsidR="00874695" w:rsidRPr="00202DEE">
        <w:rPr>
          <w:rFonts w:ascii="Times New Roman" w:hAnsi="Times New Roman" w:cs="Times New Roman"/>
          <w:color w:val="000000" w:themeColor="text1"/>
          <w:sz w:val="24"/>
          <w:szCs w:val="24"/>
          <w:shd w:val="clear" w:color="auto" w:fill="FFFFFF"/>
        </w:rPr>
        <w:t>, </w:t>
      </w:r>
      <w:r w:rsidR="00874695" w:rsidRPr="00202DEE">
        <w:rPr>
          <w:rFonts w:ascii="Times New Roman" w:hAnsi="Times New Roman" w:cs="Times New Roman"/>
          <w:i/>
          <w:iCs/>
          <w:color w:val="000000" w:themeColor="text1"/>
          <w:sz w:val="24"/>
          <w:szCs w:val="24"/>
          <w:shd w:val="clear" w:color="auto" w:fill="FFFFFF"/>
        </w:rPr>
        <w:t>2012</w:t>
      </w:r>
      <w:r w:rsidR="00874695" w:rsidRPr="00202DEE">
        <w:rPr>
          <w:rFonts w:ascii="Times New Roman" w:hAnsi="Times New Roman" w:cs="Times New Roman"/>
          <w:color w:val="000000" w:themeColor="text1"/>
          <w:sz w:val="24"/>
          <w:szCs w:val="24"/>
          <w:shd w:val="clear" w:color="auto" w:fill="FFFFFF"/>
        </w:rPr>
        <w:t xml:space="preserve">, 432892. </w:t>
      </w:r>
      <w:hyperlink r:id="rId13" w:history="1">
        <w:r w:rsidR="00874695" w:rsidRPr="00202DEE">
          <w:rPr>
            <w:rStyle w:val="Hyperlink"/>
            <w:rFonts w:ascii="Times New Roman" w:hAnsi="Times New Roman" w:cs="Times New Roman"/>
            <w:color w:val="000000" w:themeColor="text1"/>
            <w:sz w:val="24"/>
            <w:szCs w:val="24"/>
            <w:u w:val="none"/>
            <w:shd w:val="clear" w:color="auto" w:fill="FFFFFF"/>
          </w:rPr>
          <w:t>https://doi.org/10.6064/2012/432892</w:t>
        </w:r>
      </w:hyperlink>
    </w:p>
    <w:sectPr w:rsidR="00202DEE" w:rsidRPr="00202DEE" w:rsidSect="00B92FB9">
      <w:headerReference w:type="default" r:id="rId1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1F2C" w:rsidRDefault="00711F2C">
      <w:pPr>
        <w:spacing w:after="0" w:line="240" w:lineRule="auto"/>
      </w:pPr>
      <w:r>
        <w:separator/>
      </w:r>
    </w:p>
  </w:endnote>
  <w:endnote w:type="continuationSeparator" w:id="1">
    <w:p w:rsidR="00711F2C" w:rsidRDefault="00711F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1F2C" w:rsidRDefault="00711F2C">
      <w:pPr>
        <w:spacing w:after="0" w:line="240" w:lineRule="auto"/>
      </w:pPr>
      <w:r>
        <w:separator/>
      </w:r>
    </w:p>
  </w:footnote>
  <w:footnote w:type="continuationSeparator" w:id="1">
    <w:p w:rsidR="00711F2C" w:rsidRDefault="00711F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9669343"/>
      <w:docPartObj>
        <w:docPartGallery w:val="Page Numbers (Top of Page)"/>
        <w:docPartUnique/>
      </w:docPartObj>
    </w:sdtPr>
    <w:sdtEndPr>
      <w:rPr>
        <w:noProof/>
      </w:rPr>
    </w:sdtEndPr>
    <w:sdtContent>
      <w:p w:rsidR="00202DEE" w:rsidRPr="00202DEE" w:rsidRDefault="00546BD5">
        <w:pPr>
          <w:pStyle w:val="Header"/>
          <w:jc w:val="right"/>
          <w:rPr>
            <w:rFonts w:ascii="Times New Roman" w:hAnsi="Times New Roman" w:cs="Times New Roman"/>
            <w:sz w:val="24"/>
            <w:szCs w:val="24"/>
          </w:rPr>
        </w:pPr>
        <w:r w:rsidRPr="00202DEE">
          <w:rPr>
            <w:rFonts w:ascii="Times New Roman" w:hAnsi="Times New Roman" w:cs="Times New Roman"/>
            <w:sz w:val="24"/>
            <w:szCs w:val="24"/>
          </w:rPr>
          <w:fldChar w:fldCharType="begin"/>
        </w:r>
        <w:r w:rsidR="00874695" w:rsidRPr="00202DEE">
          <w:rPr>
            <w:rFonts w:ascii="Times New Roman" w:hAnsi="Times New Roman" w:cs="Times New Roman"/>
            <w:sz w:val="24"/>
            <w:szCs w:val="24"/>
          </w:rPr>
          <w:instrText xml:space="preserve"> PAGE   \* MERGEFORMAT </w:instrText>
        </w:r>
        <w:r w:rsidRPr="00202DEE">
          <w:rPr>
            <w:rFonts w:ascii="Times New Roman" w:hAnsi="Times New Roman" w:cs="Times New Roman"/>
            <w:sz w:val="24"/>
            <w:szCs w:val="24"/>
          </w:rPr>
          <w:fldChar w:fldCharType="separate"/>
        </w:r>
        <w:r w:rsidR="00A25163">
          <w:rPr>
            <w:rFonts w:ascii="Times New Roman" w:hAnsi="Times New Roman" w:cs="Times New Roman"/>
            <w:noProof/>
            <w:sz w:val="24"/>
            <w:szCs w:val="24"/>
          </w:rPr>
          <w:t>1</w:t>
        </w:r>
        <w:r w:rsidRPr="00202DEE">
          <w:rPr>
            <w:rFonts w:ascii="Times New Roman" w:hAnsi="Times New Roman" w:cs="Times New Roman"/>
            <w:noProof/>
            <w:sz w:val="24"/>
            <w:szCs w:val="24"/>
          </w:rPr>
          <w:fldChar w:fldCharType="end"/>
        </w:r>
      </w:p>
    </w:sdtContent>
  </w:sdt>
  <w:p w:rsidR="00202DEE" w:rsidRDefault="00202DE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364E55"/>
    <w:multiLevelType w:val="hybridMultilevel"/>
    <w:tmpl w:val="A6F80EDE"/>
    <w:lvl w:ilvl="0" w:tplc="035C3396">
      <w:start w:val="1"/>
      <w:numFmt w:val="bullet"/>
      <w:lvlText w:val=""/>
      <w:lvlJc w:val="left"/>
      <w:pPr>
        <w:ind w:left="720" w:hanging="360"/>
      </w:pPr>
      <w:rPr>
        <w:rFonts w:ascii="Symbol" w:hAnsi="Symbol" w:hint="default"/>
      </w:rPr>
    </w:lvl>
    <w:lvl w:ilvl="1" w:tplc="60BC9788" w:tentative="1">
      <w:start w:val="1"/>
      <w:numFmt w:val="bullet"/>
      <w:lvlText w:val="o"/>
      <w:lvlJc w:val="left"/>
      <w:pPr>
        <w:ind w:left="1440" w:hanging="360"/>
      </w:pPr>
      <w:rPr>
        <w:rFonts w:ascii="Courier New" w:hAnsi="Courier New" w:cs="Courier New" w:hint="default"/>
      </w:rPr>
    </w:lvl>
    <w:lvl w:ilvl="2" w:tplc="BB18223E" w:tentative="1">
      <w:start w:val="1"/>
      <w:numFmt w:val="bullet"/>
      <w:lvlText w:val=""/>
      <w:lvlJc w:val="left"/>
      <w:pPr>
        <w:ind w:left="2160" w:hanging="360"/>
      </w:pPr>
      <w:rPr>
        <w:rFonts w:ascii="Wingdings" w:hAnsi="Wingdings" w:hint="default"/>
      </w:rPr>
    </w:lvl>
    <w:lvl w:ilvl="3" w:tplc="EE48E78C" w:tentative="1">
      <w:start w:val="1"/>
      <w:numFmt w:val="bullet"/>
      <w:lvlText w:val=""/>
      <w:lvlJc w:val="left"/>
      <w:pPr>
        <w:ind w:left="2880" w:hanging="360"/>
      </w:pPr>
      <w:rPr>
        <w:rFonts w:ascii="Symbol" w:hAnsi="Symbol" w:hint="default"/>
      </w:rPr>
    </w:lvl>
    <w:lvl w:ilvl="4" w:tplc="826251A4" w:tentative="1">
      <w:start w:val="1"/>
      <w:numFmt w:val="bullet"/>
      <w:lvlText w:val="o"/>
      <w:lvlJc w:val="left"/>
      <w:pPr>
        <w:ind w:left="3600" w:hanging="360"/>
      </w:pPr>
      <w:rPr>
        <w:rFonts w:ascii="Courier New" w:hAnsi="Courier New" w:cs="Courier New" w:hint="default"/>
      </w:rPr>
    </w:lvl>
    <w:lvl w:ilvl="5" w:tplc="920EA588" w:tentative="1">
      <w:start w:val="1"/>
      <w:numFmt w:val="bullet"/>
      <w:lvlText w:val=""/>
      <w:lvlJc w:val="left"/>
      <w:pPr>
        <w:ind w:left="4320" w:hanging="360"/>
      </w:pPr>
      <w:rPr>
        <w:rFonts w:ascii="Wingdings" w:hAnsi="Wingdings" w:hint="default"/>
      </w:rPr>
    </w:lvl>
    <w:lvl w:ilvl="6" w:tplc="EAA2039C" w:tentative="1">
      <w:start w:val="1"/>
      <w:numFmt w:val="bullet"/>
      <w:lvlText w:val=""/>
      <w:lvlJc w:val="left"/>
      <w:pPr>
        <w:ind w:left="5040" w:hanging="360"/>
      </w:pPr>
      <w:rPr>
        <w:rFonts w:ascii="Symbol" w:hAnsi="Symbol" w:hint="default"/>
      </w:rPr>
    </w:lvl>
    <w:lvl w:ilvl="7" w:tplc="D452C4C0" w:tentative="1">
      <w:start w:val="1"/>
      <w:numFmt w:val="bullet"/>
      <w:lvlText w:val="o"/>
      <w:lvlJc w:val="left"/>
      <w:pPr>
        <w:ind w:left="5760" w:hanging="360"/>
      </w:pPr>
      <w:rPr>
        <w:rFonts w:ascii="Courier New" w:hAnsi="Courier New" w:cs="Courier New" w:hint="default"/>
      </w:rPr>
    </w:lvl>
    <w:lvl w:ilvl="8" w:tplc="83B08B4A" w:tentative="1">
      <w:start w:val="1"/>
      <w:numFmt w:val="bullet"/>
      <w:lvlText w:val=""/>
      <w:lvlJc w:val="left"/>
      <w:pPr>
        <w:ind w:left="6480" w:hanging="360"/>
      </w:pPr>
      <w:rPr>
        <w:rFonts w:ascii="Wingdings" w:hAnsi="Wingdings" w:hint="default"/>
      </w:rPr>
    </w:lvl>
  </w:abstractNum>
  <w:abstractNum w:abstractNumId="1">
    <w:nsid w:val="46990D97"/>
    <w:multiLevelType w:val="hybridMultilevel"/>
    <w:tmpl w:val="0A8A9F54"/>
    <w:lvl w:ilvl="0" w:tplc="17322342">
      <w:start w:val="1"/>
      <w:numFmt w:val="bullet"/>
      <w:lvlText w:val=""/>
      <w:lvlJc w:val="left"/>
      <w:pPr>
        <w:ind w:left="720" w:hanging="360"/>
      </w:pPr>
      <w:rPr>
        <w:rFonts w:ascii="Symbol" w:hAnsi="Symbol" w:hint="default"/>
      </w:rPr>
    </w:lvl>
    <w:lvl w:ilvl="1" w:tplc="0C6A9796" w:tentative="1">
      <w:start w:val="1"/>
      <w:numFmt w:val="bullet"/>
      <w:lvlText w:val="o"/>
      <w:lvlJc w:val="left"/>
      <w:pPr>
        <w:ind w:left="1440" w:hanging="360"/>
      </w:pPr>
      <w:rPr>
        <w:rFonts w:ascii="Courier New" w:hAnsi="Courier New" w:cs="Courier New" w:hint="default"/>
      </w:rPr>
    </w:lvl>
    <w:lvl w:ilvl="2" w:tplc="FFEEF3EC" w:tentative="1">
      <w:start w:val="1"/>
      <w:numFmt w:val="bullet"/>
      <w:lvlText w:val=""/>
      <w:lvlJc w:val="left"/>
      <w:pPr>
        <w:ind w:left="2160" w:hanging="360"/>
      </w:pPr>
      <w:rPr>
        <w:rFonts w:ascii="Wingdings" w:hAnsi="Wingdings" w:hint="default"/>
      </w:rPr>
    </w:lvl>
    <w:lvl w:ilvl="3" w:tplc="5A7CC818" w:tentative="1">
      <w:start w:val="1"/>
      <w:numFmt w:val="bullet"/>
      <w:lvlText w:val=""/>
      <w:lvlJc w:val="left"/>
      <w:pPr>
        <w:ind w:left="2880" w:hanging="360"/>
      </w:pPr>
      <w:rPr>
        <w:rFonts w:ascii="Symbol" w:hAnsi="Symbol" w:hint="default"/>
      </w:rPr>
    </w:lvl>
    <w:lvl w:ilvl="4" w:tplc="BB122C5E" w:tentative="1">
      <w:start w:val="1"/>
      <w:numFmt w:val="bullet"/>
      <w:lvlText w:val="o"/>
      <w:lvlJc w:val="left"/>
      <w:pPr>
        <w:ind w:left="3600" w:hanging="360"/>
      </w:pPr>
      <w:rPr>
        <w:rFonts w:ascii="Courier New" w:hAnsi="Courier New" w:cs="Courier New" w:hint="default"/>
      </w:rPr>
    </w:lvl>
    <w:lvl w:ilvl="5" w:tplc="716EE6BC" w:tentative="1">
      <w:start w:val="1"/>
      <w:numFmt w:val="bullet"/>
      <w:lvlText w:val=""/>
      <w:lvlJc w:val="left"/>
      <w:pPr>
        <w:ind w:left="4320" w:hanging="360"/>
      </w:pPr>
      <w:rPr>
        <w:rFonts w:ascii="Wingdings" w:hAnsi="Wingdings" w:hint="default"/>
      </w:rPr>
    </w:lvl>
    <w:lvl w:ilvl="6" w:tplc="802A3CC6" w:tentative="1">
      <w:start w:val="1"/>
      <w:numFmt w:val="bullet"/>
      <w:lvlText w:val=""/>
      <w:lvlJc w:val="left"/>
      <w:pPr>
        <w:ind w:left="5040" w:hanging="360"/>
      </w:pPr>
      <w:rPr>
        <w:rFonts w:ascii="Symbol" w:hAnsi="Symbol" w:hint="default"/>
      </w:rPr>
    </w:lvl>
    <w:lvl w:ilvl="7" w:tplc="052E354E" w:tentative="1">
      <w:start w:val="1"/>
      <w:numFmt w:val="bullet"/>
      <w:lvlText w:val="o"/>
      <w:lvlJc w:val="left"/>
      <w:pPr>
        <w:ind w:left="5760" w:hanging="360"/>
      </w:pPr>
      <w:rPr>
        <w:rFonts w:ascii="Courier New" w:hAnsi="Courier New" w:cs="Courier New" w:hint="default"/>
      </w:rPr>
    </w:lvl>
    <w:lvl w:ilvl="8" w:tplc="55FE4458" w:tentative="1">
      <w:start w:val="1"/>
      <w:numFmt w:val="bullet"/>
      <w:lvlText w:val=""/>
      <w:lvlJc w:val="left"/>
      <w:pPr>
        <w:ind w:left="6480" w:hanging="360"/>
      </w:pPr>
      <w:rPr>
        <w:rFonts w:ascii="Wingdings" w:hAnsi="Wingdings" w:hint="default"/>
      </w:rPr>
    </w:lvl>
  </w:abstractNum>
  <w:abstractNum w:abstractNumId="2">
    <w:nsid w:val="5E1B6A65"/>
    <w:multiLevelType w:val="hybridMultilevel"/>
    <w:tmpl w:val="E536010C"/>
    <w:lvl w:ilvl="0" w:tplc="1AC682FC">
      <w:start w:val="1"/>
      <w:numFmt w:val="bullet"/>
      <w:lvlText w:val=""/>
      <w:lvlJc w:val="left"/>
      <w:pPr>
        <w:ind w:left="720" w:hanging="360"/>
      </w:pPr>
      <w:rPr>
        <w:rFonts w:ascii="Symbol" w:hAnsi="Symbol" w:hint="default"/>
      </w:rPr>
    </w:lvl>
    <w:lvl w:ilvl="1" w:tplc="79343E34" w:tentative="1">
      <w:start w:val="1"/>
      <w:numFmt w:val="bullet"/>
      <w:lvlText w:val="o"/>
      <w:lvlJc w:val="left"/>
      <w:pPr>
        <w:ind w:left="1440" w:hanging="360"/>
      </w:pPr>
      <w:rPr>
        <w:rFonts w:ascii="Courier New" w:hAnsi="Courier New" w:cs="Courier New" w:hint="default"/>
      </w:rPr>
    </w:lvl>
    <w:lvl w:ilvl="2" w:tplc="BCDA7274" w:tentative="1">
      <w:start w:val="1"/>
      <w:numFmt w:val="bullet"/>
      <w:lvlText w:val=""/>
      <w:lvlJc w:val="left"/>
      <w:pPr>
        <w:ind w:left="2160" w:hanging="360"/>
      </w:pPr>
      <w:rPr>
        <w:rFonts w:ascii="Wingdings" w:hAnsi="Wingdings" w:hint="default"/>
      </w:rPr>
    </w:lvl>
    <w:lvl w:ilvl="3" w:tplc="52700F9E" w:tentative="1">
      <w:start w:val="1"/>
      <w:numFmt w:val="bullet"/>
      <w:lvlText w:val=""/>
      <w:lvlJc w:val="left"/>
      <w:pPr>
        <w:ind w:left="2880" w:hanging="360"/>
      </w:pPr>
      <w:rPr>
        <w:rFonts w:ascii="Symbol" w:hAnsi="Symbol" w:hint="default"/>
      </w:rPr>
    </w:lvl>
    <w:lvl w:ilvl="4" w:tplc="774C3E4E" w:tentative="1">
      <w:start w:val="1"/>
      <w:numFmt w:val="bullet"/>
      <w:lvlText w:val="o"/>
      <w:lvlJc w:val="left"/>
      <w:pPr>
        <w:ind w:left="3600" w:hanging="360"/>
      </w:pPr>
      <w:rPr>
        <w:rFonts w:ascii="Courier New" w:hAnsi="Courier New" w:cs="Courier New" w:hint="default"/>
      </w:rPr>
    </w:lvl>
    <w:lvl w:ilvl="5" w:tplc="B9D83854" w:tentative="1">
      <w:start w:val="1"/>
      <w:numFmt w:val="bullet"/>
      <w:lvlText w:val=""/>
      <w:lvlJc w:val="left"/>
      <w:pPr>
        <w:ind w:left="4320" w:hanging="360"/>
      </w:pPr>
      <w:rPr>
        <w:rFonts w:ascii="Wingdings" w:hAnsi="Wingdings" w:hint="default"/>
      </w:rPr>
    </w:lvl>
    <w:lvl w:ilvl="6" w:tplc="816A3F9E" w:tentative="1">
      <w:start w:val="1"/>
      <w:numFmt w:val="bullet"/>
      <w:lvlText w:val=""/>
      <w:lvlJc w:val="left"/>
      <w:pPr>
        <w:ind w:left="5040" w:hanging="360"/>
      </w:pPr>
      <w:rPr>
        <w:rFonts w:ascii="Symbol" w:hAnsi="Symbol" w:hint="default"/>
      </w:rPr>
    </w:lvl>
    <w:lvl w:ilvl="7" w:tplc="F2A69178" w:tentative="1">
      <w:start w:val="1"/>
      <w:numFmt w:val="bullet"/>
      <w:lvlText w:val="o"/>
      <w:lvlJc w:val="left"/>
      <w:pPr>
        <w:ind w:left="5760" w:hanging="360"/>
      </w:pPr>
      <w:rPr>
        <w:rFonts w:ascii="Courier New" w:hAnsi="Courier New" w:cs="Courier New" w:hint="default"/>
      </w:rPr>
    </w:lvl>
    <w:lvl w:ilvl="8" w:tplc="51C45816"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E1259"/>
    <w:rsid w:val="0010138C"/>
    <w:rsid w:val="00101B6A"/>
    <w:rsid w:val="00154F92"/>
    <w:rsid w:val="002013AA"/>
    <w:rsid w:val="00202DEE"/>
    <w:rsid w:val="00233E8C"/>
    <w:rsid w:val="00234A51"/>
    <w:rsid w:val="002C3F4E"/>
    <w:rsid w:val="002E3416"/>
    <w:rsid w:val="004B78CB"/>
    <w:rsid w:val="00546BD5"/>
    <w:rsid w:val="00591E68"/>
    <w:rsid w:val="005E1259"/>
    <w:rsid w:val="00711F2C"/>
    <w:rsid w:val="007534EF"/>
    <w:rsid w:val="00857A11"/>
    <w:rsid w:val="00872492"/>
    <w:rsid w:val="00874695"/>
    <w:rsid w:val="00896267"/>
    <w:rsid w:val="009E31BF"/>
    <w:rsid w:val="00A25163"/>
    <w:rsid w:val="00A95480"/>
    <w:rsid w:val="00AA0A56"/>
    <w:rsid w:val="00B36C30"/>
    <w:rsid w:val="00B604B8"/>
    <w:rsid w:val="00B75D1C"/>
    <w:rsid w:val="00B92FB9"/>
    <w:rsid w:val="00BC21FE"/>
    <w:rsid w:val="00BE5B11"/>
    <w:rsid w:val="00C272C2"/>
    <w:rsid w:val="00C372B3"/>
    <w:rsid w:val="00CB53C7"/>
    <w:rsid w:val="00F85001"/>
    <w:rsid w:val="00FC2AC1"/>
    <w:rsid w:val="00FC3A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F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3AA"/>
    <w:pPr>
      <w:ind w:left="720"/>
      <w:contextualSpacing/>
    </w:pPr>
  </w:style>
  <w:style w:type="character" w:styleId="Hyperlink">
    <w:name w:val="Hyperlink"/>
    <w:basedOn w:val="DefaultParagraphFont"/>
    <w:uiPriority w:val="99"/>
    <w:unhideWhenUsed/>
    <w:rsid w:val="00896267"/>
    <w:rPr>
      <w:color w:val="0563C1" w:themeColor="hyperlink"/>
      <w:u w:val="single"/>
    </w:rPr>
  </w:style>
  <w:style w:type="character" w:customStyle="1" w:styleId="UnresolvedMention1">
    <w:name w:val="Unresolved Mention1"/>
    <w:basedOn w:val="DefaultParagraphFont"/>
    <w:uiPriority w:val="99"/>
    <w:semiHidden/>
    <w:unhideWhenUsed/>
    <w:rsid w:val="00896267"/>
    <w:rPr>
      <w:color w:val="605E5C"/>
      <w:shd w:val="clear" w:color="auto" w:fill="E1DFDD"/>
    </w:rPr>
  </w:style>
  <w:style w:type="paragraph" w:styleId="Header">
    <w:name w:val="header"/>
    <w:basedOn w:val="Normal"/>
    <w:link w:val="HeaderChar"/>
    <w:uiPriority w:val="99"/>
    <w:unhideWhenUsed/>
    <w:rsid w:val="00202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2DEE"/>
  </w:style>
  <w:style w:type="paragraph" w:styleId="Footer">
    <w:name w:val="footer"/>
    <w:basedOn w:val="Normal"/>
    <w:link w:val="FooterChar"/>
    <w:uiPriority w:val="99"/>
    <w:unhideWhenUsed/>
    <w:rsid w:val="00202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D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86/14787210.2016.1135052" TargetMode="External"/><Relationship Id="rId13" Type="http://schemas.openxmlformats.org/officeDocument/2006/relationships/hyperlink" Target="https://doi.org/10.6064/2012/432892" TargetMode="External"/><Relationship Id="rId3" Type="http://schemas.openxmlformats.org/officeDocument/2006/relationships/settings" Target="settings.xml"/><Relationship Id="rId7" Type="http://schemas.openxmlformats.org/officeDocument/2006/relationships/hyperlink" Target="https://pubmed.ncbi.nlm.nih.gov/26968289/" TargetMode="External"/><Relationship Id="rId12" Type="http://schemas.openxmlformats.org/officeDocument/2006/relationships/hyperlink" Target="https://doi.org/10.1097/YCO.0b013e3282f3ad8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1478-4491-11-1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3889/oamjms.2019.846" TargetMode="External"/><Relationship Id="rId4" Type="http://schemas.openxmlformats.org/officeDocument/2006/relationships/webSettings" Target="webSettings.xml"/><Relationship Id="rId9" Type="http://schemas.openxmlformats.org/officeDocument/2006/relationships/hyperlink" Target="https://doi.org/10.1089/pop.2012.0084"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1793</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2020-10-30T05:19:00Z</dcterms:created>
  <dcterms:modified xsi:type="dcterms:W3CDTF">2020-10-30T05:19:00Z</dcterms:modified>
</cp:coreProperties>
</file>